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1D" w:rsidRPr="00C17868" w:rsidRDefault="0015079B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18</w:t>
      </w:r>
      <w:bookmarkStart w:id="0" w:name="_GoBack"/>
      <w:bookmarkEnd w:id="0"/>
      <w:r w:rsidR="0054441D" w:rsidRPr="00C1786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4441D" w:rsidRPr="00C17868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17868">
        <w:rPr>
          <w:rFonts w:ascii="Times New Roman" w:eastAsia="Times New Roman" w:hAnsi="Times New Roman" w:cs="Times New Roman"/>
          <w:i/>
          <w:lang w:eastAsia="ru-RU"/>
        </w:rPr>
        <w:t xml:space="preserve">к положению о клубном формировании </w:t>
      </w:r>
    </w:p>
    <w:p w:rsidR="0054441D" w:rsidRPr="00C17868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C17868"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 w:rsidRPr="00C17868"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 w:rsidRPr="00C17868"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54441D" w:rsidRDefault="0054441D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54441D" w:rsidRDefault="0054441D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54441D" w:rsidRDefault="0054441D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proofErr w:type="spellStart"/>
      <w:r w:rsidR="004657AA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Экономского</w:t>
      </w:r>
      <w:proofErr w:type="spellEnd"/>
      <w:r w:rsidR="00246EA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сельского клуба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proofErr w:type="spellStart"/>
      <w:r w:rsidR="004657A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Экономского</w:t>
      </w:r>
      <w:proofErr w:type="spellEnd"/>
      <w:r w:rsidR="005F1F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25.05.2006, и регулирует деятельность клубных формирований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4657A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Экономского</w:t>
      </w:r>
      <w:proofErr w:type="spellEnd"/>
      <w:r w:rsidR="004657A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сельского клуба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</w:t>
      </w:r>
      <w:proofErr w:type="spellStart"/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Экономский</w:t>
      </w:r>
      <w:proofErr w:type="spellEnd"/>
      <w:r w:rsidR="007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участвует в общих программах и акциях </w:t>
      </w:r>
      <w:proofErr w:type="spellStart"/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Экономского</w:t>
      </w:r>
      <w:proofErr w:type="spellEnd"/>
      <w:r w:rsidR="0059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 w:rsidR="007A71D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r w:rsidR="007A1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ных</w:t>
      </w:r>
      <w:r w:rsidR="005924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</w:t>
      </w:r>
      <w:r w:rsidR="004657A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ормированиях </w:t>
      </w:r>
      <w:proofErr w:type="spellStart"/>
      <w:r w:rsidR="004657A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Экономского</w:t>
      </w:r>
      <w:proofErr w:type="spellEnd"/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proofErr w:type="spellStart"/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Экономского</w:t>
      </w:r>
      <w:proofErr w:type="spellEnd"/>
      <w:r w:rsidR="004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сценографией,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Экономского  сельского клуба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54441D" w:rsidRPr="004B30C4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54441D" w:rsidRPr="004E510B" w:rsidTr="009126B4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54441D" w:rsidRPr="004E510B" w:rsidTr="009126B4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54441D" w:rsidRPr="004E510B" w:rsidTr="009126B4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54441D" w:rsidRPr="004E510B" w:rsidTr="009126B4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54441D" w:rsidRPr="004E510B" w:rsidTr="009126B4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54441D" w:rsidRPr="004E510B" w:rsidTr="009126B4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Экономского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сельского клуба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54441D" w:rsidRPr="004B30C4" w:rsidRDefault="0054441D" w:rsidP="005444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54441D" w:rsidRPr="004B30C4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4441D" w:rsidRPr="004E510B" w:rsidRDefault="0054441D" w:rsidP="00544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1D" w:rsidRPr="004E510B" w:rsidRDefault="0054441D" w:rsidP="00544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54441D" w:rsidRPr="004E510B" w:rsidRDefault="0054441D" w:rsidP="00544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54441D" w:rsidRPr="004E510B" w:rsidTr="00912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54441D" w:rsidRPr="004E510B" w:rsidTr="00912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не менее 3 части текущего репертуара;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1 раза в квартал  </w:t>
            </w:r>
          </w:p>
        </w:tc>
      </w:tr>
      <w:tr w:rsidR="0054441D" w:rsidRPr="004E510B" w:rsidTr="00912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номеров для участия в концертах и представлениях базового учреждения культуры;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1D" w:rsidRPr="004E510B" w:rsidTr="00912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54441D" w:rsidRPr="004E510B" w:rsidTr="009126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41D" w:rsidRPr="004E510B" w:rsidRDefault="0054441D" w:rsidP="00912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1D" w:rsidRPr="004E510B" w:rsidRDefault="0054441D" w:rsidP="005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E8" w:rsidRDefault="00C309E8"/>
    <w:sectPr w:rsidR="00C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28" w:rsidRDefault="00033728" w:rsidP="004E510B">
      <w:pPr>
        <w:spacing w:after="0" w:line="240" w:lineRule="auto"/>
      </w:pPr>
      <w:r>
        <w:separator/>
      </w:r>
    </w:p>
  </w:endnote>
  <w:endnote w:type="continuationSeparator" w:id="0">
    <w:p w:rsidR="00033728" w:rsidRDefault="00033728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28" w:rsidRDefault="00033728" w:rsidP="004E510B">
      <w:pPr>
        <w:spacing w:after="0" w:line="240" w:lineRule="auto"/>
      </w:pPr>
      <w:r>
        <w:separator/>
      </w:r>
    </w:p>
  </w:footnote>
  <w:footnote w:type="continuationSeparator" w:id="0">
    <w:p w:rsidR="00033728" w:rsidRDefault="00033728" w:rsidP="004E510B">
      <w:pPr>
        <w:spacing w:after="0" w:line="240" w:lineRule="auto"/>
      </w:pPr>
      <w:r>
        <w:continuationSeparator/>
      </w:r>
    </w:p>
  </w:footnote>
  <w:footnote w:id="1">
    <w:p w:rsidR="0054441D" w:rsidRDefault="0054441D" w:rsidP="005444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033728"/>
    <w:rsid w:val="00142927"/>
    <w:rsid w:val="0015079B"/>
    <w:rsid w:val="00246EAB"/>
    <w:rsid w:val="002D47B6"/>
    <w:rsid w:val="0030359C"/>
    <w:rsid w:val="00376E6E"/>
    <w:rsid w:val="003D61F8"/>
    <w:rsid w:val="004657AA"/>
    <w:rsid w:val="004E510B"/>
    <w:rsid w:val="00522BC8"/>
    <w:rsid w:val="0054441D"/>
    <w:rsid w:val="00592470"/>
    <w:rsid w:val="005F1FC3"/>
    <w:rsid w:val="0067155F"/>
    <w:rsid w:val="00692E6C"/>
    <w:rsid w:val="007105A8"/>
    <w:rsid w:val="00741099"/>
    <w:rsid w:val="007A1252"/>
    <w:rsid w:val="007A71D7"/>
    <w:rsid w:val="007C3045"/>
    <w:rsid w:val="0082523F"/>
    <w:rsid w:val="00A419F1"/>
    <w:rsid w:val="00A73FDC"/>
    <w:rsid w:val="00B16083"/>
    <w:rsid w:val="00C309E8"/>
    <w:rsid w:val="00C477DC"/>
    <w:rsid w:val="00D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2016-10-08T08:22:00Z</cp:lastPrinted>
  <dcterms:created xsi:type="dcterms:W3CDTF">2016-10-07T12:49:00Z</dcterms:created>
  <dcterms:modified xsi:type="dcterms:W3CDTF">2018-01-19T14:38:00Z</dcterms:modified>
</cp:coreProperties>
</file>